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193357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4" y="21234"/>
                <wp:lineTo x="2149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235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067C6B" w:rsidRPr="00277EF4">
        <w:rPr>
          <w:color w:val="000000" w:themeColor="text1"/>
          <w:sz w:val="28"/>
          <w:szCs w:val="28"/>
        </w:rPr>
        <w:t>5</w:t>
      </w:r>
      <w:r w:rsidR="00172DBD">
        <w:rPr>
          <w:color w:val="000000" w:themeColor="text1"/>
          <w:sz w:val="28"/>
          <w:szCs w:val="28"/>
        </w:rPr>
        <w:t>,7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63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172DBD">
        <w:rPr>
          <w:color w:val="000000" w:themeColor="text1"/>
          <w:sz w:val="28"/>
          <w:szCs w:val="28"/>
        </w:rPr>
        <w:t>10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+5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</w:t>
      </w:r>
      <w:bookmarkStart w:id="0" w:name="_GoBack"/>
      <w:bookmarkEnd w:id="0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</w:t>
      </w:r>
      <w:r w:rsidRPr="006E231C">
        <w:rPr>
          <w:i/>
          <w:sz w:val="26"/>
          <w:szCs w:val="26"/>
          <w:shd w:val="clear" w:color="auto" w:fill="FFFFFF"/>
        </w:rPr>
        <w:lastRenderedPageBreak/>
        <w:t xml:space="preserve">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lastRenderedPageBreak/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0C16EC">
        <w:rPr>
          <w:color w:val="000000" w:themeColor="text1"/>
          <w:sz w:val="28"/>
          <w:szCs w:val="28"/>
        </w:rPr>
        <w:t>14 ДТП).</w:t>
      </w:r>
    </w:p>
    <w:p w:rsidR="00320290" w:rsidRDefault="006F1930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4B71B8" wp14:editId="02568214">
            <wp:simplePos x="0" y="0"/>
            <wp:positionH relativeFrom="column">
              <wp:posOffset>-546100</wp:posOffset>
            </wp:positionH>
            <wp:positionV relativeFrom="paragraph">
              <wp:posOffset>21590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lastRenderedPageBreak/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FF18AF" w:rsidRPr="00613EE2" w:rsidRDefault="00C028E1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="00FF18AF"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="00FF18AF"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="00FF18AF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="00FF18AF"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proofErr w:type="spellStart"/>
      <w:r w:rsidRPr="00A92973">
        <w:rPr>
          <w:sz w:val="28"/>
          <w:szCs w:val="28"/>
        </w:rPr>
        <w:t>световозвращающих</w:t>
      </w:r>
      <w:proofErr w:type="spellEnd"/>
      <w:r w:rsidRPr="00A92973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</w:t>
      </w:r>
      <w:r>
        <w:rPr>
          <w:color w:val="000000"/>
          <w:sz w:val="28"/>
          <w:szCs w:val="28"/>
        </w:rPr>
        <w:lastRenderedPageBreak/>
        <w:t xml:space="preserve">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D047C2" w:rsidRDefault="00D368AC" w:rsidP="006F1930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12653F" w:rsidRDefault="00FF18AF" w:rsidP="0012653F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764B7E" w:rsidRPr="004A1ADB">
        <w:rPr>
          <w:sz w:val="28"/>
          <w:szCs w:val="28"/>
        </w:rPr>
        <w:t>3</w:t>
      </w:r>
      <w:r w:rsidR="00222C3A" w:rsidRPr="004A1ADB">
        <w:rPr>
          <w:sz w:val="28"/>
          <w:szCs w:val="28"/>
        </w:rPr>
        <w:t>6</w:t>
      </w:r>
      <w:r w:rsidRPr="004A1ADB">
        <w:rPr>
          <w:sz w:val="28"/>
          <w:szCs w:val="28"/>
        </w:rPr>
        <w:t xml:space="preserve"> </w:t>
      </w:r>
      <w:r w:rsidR="002757D2" w:rsidRPr="004A1ADB">
        <w:rPr>
          <w:sz w:val="28"/>
          <w:szCs w:val="28"/>
        </w:rPr>
        <w:br/>
      </w:r>
      <w:r w:rsidRPr="004A1ADB">
        <w:rPr>
          <w:sz w:val="28"/>
          <w:szCs w:val="28"/>
        </w:rPr>
        <w:t>(</w:t>
      </w:r>
      <w:r w:rsidR="002757D2" w:rsidRPr="004A1ADB">
        <w:rPr>
          <w:sz w:val="28"/>
          <w:szCs w:val="28"/>
        </w:rPr>
        <w:t>1 погиб; +</w:t>
      </w:r>
      <w:r w:rsidR="00222C3A" w:rsidRPr="004A1ADB">
        <w:rPr>
          <w:sz w:val="28"/>
          <w:szCs w:val="28"/>
        </w:rPr>
        <w:t>50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Заречный 5 (+400%);</w:t>
      </w:r>
      <w:r w:rsidRPr="004A1ADB">
        <w:rPr>
          <w:sz w:val="28"/>
          <w:szCs w:val="28"/>
        </w:rPr>
        <w:t xml:space="preserve"> </w:t>
      </w:r>
      <w:r w:rsidR="00764B7E" w:rsidRPr="004A1ADB">
        <w:rPr>
          <w:sz w:val="28"/>
          <w:szCs w:val="28"/>
        </w:rPr>
        <w:t>Краснотурьинск 4 (+</w:t>
      </w:r>
      <w:r w:rsidR="00222C3A" w:rsidRPr="004A1ADB">
        <w:rPr>
          <w:sz w:val="28"/>
          <w:szCs w:val="28"/>
        </w:rPr>
        <w:t>33,3</w:t>
      </w:r>
      <w:r w:rsidR="00764B7E" w:rsidRPr="004A1ADB">
        <w:rPr>
          <w:sz w:val="28"/>
          <w:szCs w:val="28"/>
        </w:rPr>
        <w:t xml:space="preserve">%); </w:t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 и Нижнем Тагиле (-50%); </w:t>
      </w:r>
      <w:r w:rsidR="00764B7E" w:rsidRPr="004A1ADB">
        <w:rPr>
          <w:sz w:val="28"/>
          <w:szCs w:val="28"/>
        </w:rPr>
        <w:t xml:space="preserve"> Каменск-Уральский  </w:t>
      </w:r>
      <w:r w:rsidR="0023338E">
        <w:rPr>
          <w:sz w:val="28"/>
          <w:szCs w:val="28"/>
        </w:rPr>
        <w:br/>
      </w:r>
      <w:r w:rsidR="00764B7E" w:rsidRPr="004A1ADB">
        <w:rPr>
          <w:sz w:val="28"/>
          <w:szCs w:val="28"/>
        </w:rPr>
        <w:t xml:space="preserve">(1 погиб), Байкалово, </w:t>
      </w:r>
      <w:r w:rsidR="00630746" w:rsidRPr="004A1ADB">
        <w:rPr>
          <w:sz w:val="28"/>
          <w:szCs w:val="28"/>
        </w:rPr>
        <w:t xml:space="preserve">Первоуральск, </w:t>
      </w:r>
      <w:r w:rsidR="004F5315" w:rsidRPr="004A1ADB">
        <w:rPr>
          <w:sz w:val="28"/>
          <w:szCs w:val="28"/>
        </w:rPr>
        <w:t>Реж</w:t>
      </w:r>
      <w:r w:rsidR="00630746" w:rsidRPr="004A1ADB">
        <w:rPr>
          <w:sz w:val="28"/>
          <w:szCs w:val="28"/>
        </w:rPr>
        <w:t xml:space="preserve"> (1 погиб)</w:t>
      </w:r>
      <w:r w:rsidR="004F5315" w:rsidRPr="004A1ADB">
        <w:rPr>
          <w:sz w:val="28"/>
          <w:szCs w:val="28"/>
        </w:rPr>
        <w:t xml:space="preserve"> и </w:t>
      </w:r>
      <w:r w:rsidR="003C3B37" w:rsidRPr="004A1ADB">
        <w:rPr>
          <w:sz w:val="28"/>
          <w:szCs w:val="28"/>
        </w:rPr>
        <w:t>Туринск по 2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1F5F38" w:rsidRPr="004A1ADB">
        <w:rPr>
          <w:sz w:val="28"/>
          <w:szCs w:val="28"/>
        </w:rPr>
        <w:t xml:space="preserve">Верхняя Салда, </w:t>
      </w:r>
      <w:r w:rsidR="004F5315" w:rsidRPr="004A1ADB">
        <w:rPr>
          <w:sz w:val="28"/>
          <w:szCs w:val="28"/>
        </w:rPr>
        <w:t xml:space="preserve">Нижние Серги, </w:t>
      </w:r>
      <w:r w:rsidR="001F5F38" w:rsidRPr="004A1ADB">
        <w:rPr>
          <w:sz w:val="28"/>
          <w:szCs w:val="28"/>
        </w:rPr>
        <w:t>Талица,</w:t>
      </w:r>
      <w:r w:rsidR="004A1ADB" w:rsidRPr="004A1ADB">
        <w:rPr>
          <w:sz w:val="28"/>
          <w:szCs w:val="28"/>
        </w:rPr>
        <w:t xml:space="preserve"> Шаля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по 1 (+100%)</w:t>
      </w:r>
      <w:r w:rsidR="008805CB" w:rsidRPr="004A1ADB">
        <w:rPr>
          <w:sz w:val="28"/>
          <w:szCs w:val="28"/>
        </w:rPr>
        <w:t>;</w:t>
      </w:r>
      <w:r w:rsidRPr="004A1ADB">
        <w:rPr>
          <w:sz w:val="28"/>
          <w:szCs w:val="28"/>
        </w:rPr>
        <w:t xml:space="preserve"> </w:t>
      </w:r>
      <w:r w:rsidR="008805CB" w:rsidRPr="004A1ADB">
        <w:rPr>
          <w:sz w:val="28"/>
          <w:szCs w:val="28"/>
        </w:rPr>
        <w:t xml:space="preserve"> </w:t>
      </w:r>
      <w:r w:rsidR="004A1ADB" w:rsidRPr="004A1ADB">
        <w:rPr>
          <w:sz w:val="28"/>
          <w:szCs w:val="28"/>
        </w:rPr>
        <w:t xml:space="preserve">Тугулым, </w:t>
      </w:r>
      <w:r w:rsidR="008805CB" w:rsidRPr="004A1ADB">
        <w:rPr>
          <w:sz w:val="28"/>
          <w:szCs w:val="28"/>
        </w:rPr>
        <w:t>Богданович</w:t>
      </w:r>
      <w:r w:rsidR="004A1ADB" w:rsidRPr="004A1ADB">
        <w:rPr>
          <w:sz w:val="28"/>
          <w:szCs w:val="28"/>
        </w:rPr>
        <w:t xml:space="preserve">, Сысерть и Сухой </w:t>
      </w:r>
      <w:r w:rsidR="004A1ADB" w:rsidRPr="00AC7B5E">
        <w:rPr>
          <w:sz w:val="28"/>
          <w:szCs w:val="28"/>
        </w:rPr>
        <w:t>Лог по 1 (уровень АППГ)</w:t>
      </w:r>
      <w:r w:rsidR="008805CB" w:rsidRPr="00AC7B5E">
        <w:rPr>
          <w:sz w:val="28"/>
          <w:szCs w:val="28"/>
        </w:rPr>
        <w:t>,</w:t>
      </w:r>
      <w:r w:rsidR="001F5F38" w:rsidRPr="00AC7B5E">
        <w:rPr>
          <w:sz w:val="28"/>
          <w:szCs w:val="28"/>
        </w:rPr>
        <w:t xml:space="preserve"> </w:t>
      </w:r>
      <w:r w:rsidR="004A1ADB" w:rsidRPr="00AC7B5E">
        <w:rPr>
          <w:sz w:val="28"/>
          <w:szCs w:val="28"/>
        </w:rPr>
        <w:t xml:space="preserve">Серов </w:t>
      </w:r>
      <w:r w:rsidR="008805CB" w:rsidRPr="00AC7B5E">
        <w:rPr>
          <w:sz w:val="28"/>
          <w:szCs w:val="28"/>
        </w:rPr>
        <w:t>(1 погиб), Красноуфимск</w:t>
      </w:r>
      <w:r w:rsidR="001F5F38" w:rsidRPr="00AC7B5E">
        <w:rPr>
          <w:sz w:val="28"/>
          <w:szCs w:val="28"/>
        </w:rPr>
        <w:t xml:space="preserve"> по</w:t>
      </w:r>
      <w:r w:rsidR="008805CB" w:rsidRPr="00AC7B5E">
        <w:rPr>
          <w:sz w:val="28"/>
          <w:szCs w:val="28"/>
        </w:rPr>
        <w:t xml:space="preserve"> 1 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6F1930" w:rsidRDefault="006F1930" w:rsidP="0012653F">
      <w:pPr>
        <w:ind w:left="-709" w:firstLine="720"/>
        <w:jc w:val="both"/>
        <w:rPr>
          <w:sz w:val="28"/>
          <w:szCs w:val="28"/>
        </w:rPr>
      </w:pPr>
      <w:r w:rsidRPr="00195611">
        <w:rPr>
          <w:sz w:val="28"/>
          <w:szCs w:val="28"/>
        </w:rPr>
        <w:t xml:space="preserve">За 9 месяцев 2021 года на </w:t>
      </w:r>
      <w:r w:rsidRPr="00371B71">
        <w:rPr>
          <w:b/>
          <w:i/>
          <w:sz w:val="28"/>
          <w:szCs w:val="28"/>
        </w:rPr>
        <w:t xml:space="preserve">территории </w:t>
      </w:r>
      <w:proofErr w:type="spellStart"/>
      <w:r w:rsidRPr="00371B71">
        <w:rPr>
          <w:b/>
          <w:i/>
          <w:sz w:val="28"/>
          <w:szCs w:val="28"/>
        </w:rPr>
        <w:t>Ачитского</w:t>
      </w:r>
      <w:proofErr w:type="spellEnd"/>
      <w:r w:rsidRPr="00371B71">
        <w:rPr>
          <w:b/>
          <w:i/>
          <w:sz w:val="28"/>
          <w:szCs w:val="28"/>
        </w:rPr>
        <w:t xml:space="preserve"> городского округа</w:t>
      </w:r>
      <w:r w:rsidRPr="00195611">
        <w:rPr>
          <w:sz w:val="28"/>
          <w:szCs w:val="28"/>
        </w:rPr>
        <w:t xml:space="preserve"> зарегистрировано </w:t>
      </w:r>
      <w:r w:rsidRPr="00371B71">
        <w:rPr>
          <w:b/>
          <w:sz w:val="28"/>
          <w:szCs w:val="28"/>
        </w:rPr>
        <w:t xml:space="preserve">два </w:t>
      </w:r>
      <w:r w:rsidRPr="00195611">
        <w:rPr>
          <w:sz w:val="28"/>
          <w:szCs w:val="28"/>
        </w:rPr>
        <w:t>ДТП</w:t>
      </w:r>
      <w:r>
        <w:rPr>
          <w:sz w:val="28"/>
          <w:szCs w:val="28"/>
        </w:rPr>
        <w:t xml:space="preserve"> (АППГ</w:t>
      </w:r>
      <w:r w:rsidRPr="00195611">
        <w:rPr>
          <w:sz w:val="28"/>
          <w:szCs w:val="28"/>
        </w:rPr>
        <w:t>-</w:t>
      </w:r>
      <w:r>
        <w:rPr>
          <w:sz w:val="28"/>
          <w:szCs w:val="28"/>
        </w:rPr>
        <w:t>1; +100%</w:t>
      </w:r>
      <w:r w:rsidRPr="00195611">
        <w:rPr>
          <w:sz w:val="28"/>
          <w:szCs w:val="28"/>
        </w:rPr>
        <w:t>) с участием несовершеннолетних,</w:t>
      </w:r>
      <w:r>
        <w:rPr>
          <w:sz w:val="28"/>
          <w:szCs w:val="28"/>
        </w:rPr>
        <w:t xml:space="preserve"> </w:t>
      </w:r>
      <w:r w:rsidRPr="00195611">
        <w:rPr>
          <w:sz w:val="28"/>
          <w:szCs w:val="28"/>
        </w:rPr>
        <w:t xml:space="preserve">в которых 2 (АППГ </w:t>
      </w:r>
      <w:r>
        <w:rPr>
          <w:sz w:val="28"/>
          <w:szCs w:val="28"/>
        </w:rPr>
        <w:t>– 1; +100%</w:t>
      </w:r>
      <w:r w:rsidRPr="00195611">
        <w:rPr>
          <w:sz w:val="28"/>
          <w:szCs w:val="28"/>
        </w:rPr>
        <w:t>) ребенка получили травмы, погибли – 0 (АППГ-0).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 xml:space="preserve">По категориям участников дорожного движения 1 ребенок пострадал в качестве пассажира, один в качестве велосипедиста. 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>На дорогах, расположенных в черте населенного пункта зарегистрировано 1 ДТП (АППГ - 1), 1 ДТП на а/д Пермь-Екатеринбург (АППГ – 0; +100%), на а/д Ачит-Месягутова ДТП не зарегистрированы (АППГ-0).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lastRenderedPageBreak/>
        <w:t xml:space="preserve">По причине нарушения ПДД РФ самими детьми всех категорий участников дорожного движения в текущем году ДТП не зарегистрированы. (АППГ – 0). 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>Анализ ДТП с участием детей по времени совершения отчетливо свидетельствует о том, что максимальное количество ДТП с их участием совершается в период с 17:25 до 22:50, при этом наибольшее количество зарегистрированных травм получили дети в возрасте с 10 до 17 лет.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 xml:space="preserve">Анализируя распределение ДТП с участием детей по дням недели, отмечаем, что ДТП с участием несовершеннолетних произошли в понедельник и вторник, когда в результате ДТП телесные повреждения получили 2 ребенка.  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за 9 месяцев 2021 года зарегистрировано 2 ДТП (АППГ-0; +200%), в результате которых 2 ребенка получили телесные повреждения (АППГ -0; +200%).</w:t>
      </w:r>
    </w:p>
    <w:p w:rsidR="0012653F" w:rsidRP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отмечается рост количества ДТП на 100%, в том числе с участием детей пассажиров и велосипедистов. С участием детей- водителей механических транспортных средств и детей – пешеходов ДТП не зарегистрировано. </w:t>
      </w:r>
    </w:p>
    <w:p w:rsidR="0012653F" w:rsidRDefault="0012653F" w:rsidP="0012653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12653F">
        <w:rPr>
          <w:color w:val="000000" w:themeColor="text1"/>
          <w:sz w:val="28"/>
          <w:szCs w:val="28"/>
        </w:rPr>
        <w:t>ДТП с участием несовершеннолетних нарушивших ПДД, за пределами территории обслуживания не зарегистрировано (АППГ -0)</w:t>
      </w:r>
      <w:r>
        <w:rPr>
          <w:color w:val="000000" w:themeColor="text1"/>
          <w:sz w:val="28"/>
          <w:szCs w:val="28"/>
        </w:rPr>
        <w:t xml:space="preserve">. </w:t>
      </w:r>
    </w:p>
    <w:p w:rsidR="006F1930" w:rsidRDefault="006F1930" w:rsidP="006F1930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 необходимо усилить работу по профилактике безопасного поведения детей на дороге.</w:t>
      </w:r>
    </w:p>
    <w:p w:rsidR="0012653F" w:rsidRDefault="0012653F" w:rsidP="006F1930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12653F" w:rsidRDefault="0012653F" w:rsidP="006F1930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ОГИБДД МО МВД России «</w:t>
      </w:r>
      <w:proofErr w:type="spellStart"/>
      <w:r>
        <w:rPr>
          <w:color w:val="000000" w:themeColor="text1"/>
          <w:sz w:val="28"/>
          <w:szCs w:val="28"/>
        </w:rPr>
        <w:t>Красноуфимский</w:t>
      </w:r>
      <w:proofErr w:type="spellEnd"/>
      <w:r>
        <w:rPr>
          <w:color w:val="000000" w:themeColor="text1"/>
          <w:sz w:val="28"/>
          <w:szCs w:val="28"/>
        </w:rPr>
        <w:t>»</w:t>
      </w:r>
    </w:p>
    <w:p w:rsidR="006F1930" w:rsidRDefault="006F1930" w:rsidP="007548A7">
      <w:pPr>
        <w:ind w:left="-709" w:firstLine="720"/>
        <w:jc w:val="both"/>
        <w:rPr>
          <w:sz w:val="28"/>
          <w:szCs w:val="28"/>
        </w:rPr>
      </w:pPr>
    </w:p>
    <w:p w:rsidR="00DF5B6B" w:rsidRPr="000E2CE7" w:rsidRDefault="00DF5B6B" w:rsidP="007548A7">
      <w:pPr>
        <w:ind w:left="-709"/>
        <w:jc w:val="both"/>
        <w:rPr>
          <w:sz w:val="28"/>
          <w:szCs w:val="28"/>
        </w:rPr>
      </w:pPr>
    </w:p>
    <w:sectPr w:rsidR="00DF5B6B" w:rsidRPr="000E2CE7" w:rsidSect="0023338E">
      <w:headerReference w:type="default" r:id="rId11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490" w:rsidRDefault="00B43490" w:rsidP="00874A55">
      <w:r>
        <w:separator/>
      </w:r>
    </w:p>
  </w:endnote>
  <w:endnote w:type="continuationSeparator" w:id="0">
    <w:p w:rsidR="00B43490" w:rsidRDefault="00B4349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490" w:rsidRDefault="00B43490" w:rsidP="00874A55">
      <w:r>
        <w:separator/>
      </w:r>
    </w:p>
  </w:footnote>
  <w:footnote w:type="continuationSeparator" w:id="0">
    <w:p w:rsidR="00B43490" w:rsidRDefault="00B4349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B71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653F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1B71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930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7D7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3490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5444632"/>
        <c:axId val="295446200"/>
        <c:axId val="0"/>
      </c:bar3DChart>
      <c:catAx>
        <c:axId val="295444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5446200"/>
        <c:crosses val="autoZero"/>
        <c:auto val="1"/>
        <c:lblAlgn val="ctr"/>
        <c:lblOffset val="100"/>
        <c:noMultiLvlLbl val="0"/>
      </c:catAx>
      <c:valAx>
        <c:axId val="295446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5444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D9B4-3FF1-4558-8900-F45593F8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Propaganda</cp:lastModifiedBy>
  <cp:revision>4</cp:revision>
  <cp:lastPrinted>2021-09-13T06:38:00Z</cp:lastPrinted>
  <dcterms:created xsi:type="dcterms:W3CDTF">2021-10-12T12:32:00Z</dcterms:created>
  <dcterms:modified xsi:type="dcterms:W3CDTF">2021-10-12T12:47:00Z</dcterms:modified>
</cp:coreProperties>
</file>